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C" w:rsidRDefault="007B712C" w:rsidP="007B71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Two Auditor General reports to Parliament in 2008 (</w:t>
      </w:r>
      <w:r w:rsidRPr="007B712C">
        <w:rPr>
          <w:rFonts w:ascii="Arial" w:hAnsi="Arial" w:cs="Arial"/>
          <w:bCs/>
        </w:rPr>
        <w:t>Reports No. 1 and No. 9</w:t>
      </w:r>
      <w:r>
        <w:rPr>
          <w:rFonts w:ascii="Arial" w:hAnsi="Arial" w:cs="Arial"/>
          <w:bCs/>
        </w:rPr>
        <w:t>)</w:t>
      </w:r>
      <w:r w:rsidRPr="007B712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covered the issue of annual reporting, and the </w:t>
      </w:r>
      <w:r w:rsidRPr="007B712C">
        <w:rPr>
          <w:rFonts w:ascii="Arial" w:hAnsi="Arial" w:cs="Arial"/>
          <w:bCs/>
        </w:rPr>
        <w:t xml:space="preserve">former Public Accounts Committee </w:t>
      </w:r>
      <w:r>
        <w:rPr>
          <w:rFonts w:ascii="Arial" w:hAnsi="Arial" w:cs="Arial"/>
          <w:bCs/>
        </w:rPr>
        <w:t xml:space="preserve">had </w:t>
      </w:r>
      <w:r w:rsidRPr="007B712C">
        <w:rPr>
          <w:rFonts w:ascii="Arial" w:hAnsi="Arial" w:cs="Arial"/>
          <w:bCs/>
        </w:rPr>
        <w:t xml:space="preserve">agreed to further investigate the issues identified in </w:t>
      </w:r>
      <w:r>
        <w:rPr>
          <w:rFonts w:ascii="Arial" w:hAnsi="Arial" w:cs="Arial"/>
          <w:bCs/>
        </w:rPr>
        <w:t>these reports</w:t>
      </w:r>
      <w:r w:rsidRPr="007B712C">
        <w:rPr>
          <w:rFonts w:ascii="Arial" w:hAnsi="Arial" w:cs="Arial"/>
          <w:bCs/>
        </w:rPr>
        <w:t xml:space="preserve">. </w:t>
      </w:r>
    </w:p>
    <w:p w:rsidR="007B712C" w:rsidRDefault="007B712C" w:rsidP="007B71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B712C">
        <w:rPr>
          <w:rFonts w:ascii="Arial" w:hAnsi="Arial" w:cs="Arial"/>
          <w:bCs/>
        </w:rPr>
        <w:t xml:space="preserve">The Public Accounts and Public Works Committee (PAPWC) resolved to continue with this inquiry and released a discussion paper in November 2009 outlining details of the inquiry. </w:t>
      </w:r>
    </w:p>
    <w:p w:rsidR="007B712C" w:rsidRDefault="007B712C" w:rsidP="007B71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B712C">
        <w:rPr>
          <w:rFonts w:ascii="Arial" w:hAnsi="Arial" w:cs="Arial"/>
          <w:bCs/>
        </w:rPr>
        <w:t>A Queensland Government submission was provided in March 2010 in response to the discussion paper</w:t>
      </w:r>
      <w:r>
        <w:rPr>
          <w:rFonts w:ascii="Arial" w:hAnsi="Arial" w:cs="Arial"/>
          <w:bCs/>
        </w:rPr>
        <w:t xml:space="preserve">.  </w:t>
      </w:r>
    </w:p>
    <w:p w:rsidR="007B712C" w:rsidRDefault="007B712C" w:rsidP="007B71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June 2011, the PAPWC reported to Parliament in </w:t>
      </w:r>
      <w:r w:rsidRPr="007B712C">
        <w:rPr>
          <w:rFonts w:ascii="Arial" w:hAnsi="Arial" w:cs="Arial"/>
          <w:bCs/>
        </w:rPr>
        <w:t xml:space="preserve">Report No. 10 </w:t>
      </w:r>
      <w:r w:rsidRPr="007B712C">
        <w:rPr>
          <w:rFonts w:ascii="Arial" w:hAnsi="Arial" w:cs="Arial"/>
          <w:bCs/>
          <w:i/>
        </w:rPr>
        <w:t>Enhancing Accountability through Annual Reporting</w:t>
      </w:r>
      <w:r>
        <w:rPr>
          <w:rFonts w:ascii="Arial" w:hAnsi="Arial" w:cs="Arial"/>
          <w:bCs/>
        </w:rPr>
        <w:t>.</w:t>
      </w:r>
    </w:p>
    <w:p w:rsidR="007B712C" w:rsidRDefault="007B712C" w:rsidP="007B712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AA3DD0">
        <w:rPr>
          <w:rFonts w:ascii="Arial" w:hAnsi="Arial" w:cs="Arial"/>
          <w:bCs/>
        </w:rPr>
        <w:t>Recommendations 1 and 3 are supported and recommendation 2 is supported in-principle.</w:t>
      </w:r>
    </w:p>
    <w:p w:rsidR="00AA3DD0" w:rsidRPr="00AA3DD0" w:rsidRDefault="00AA3DD0" w:rsidP="00AA3DD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</w:rPr>
      </w:pPr>
      <w:r w:rsidRPr="007B712C">
        <w:rPr>
          <w:rFonts w:ascii="Arial" w:hAnsi="Arial" w:cs="Arial"/>
          <w:bCs/>
          <w:u w:val="single"/>
        </w:rPr>
        <w:t>Cabinet approved</w:t>
      </w:r>
      <w:r w:rsidRPr="00AA3DD0">
        <w:rPr>
          <w:rFonts w:ascii="Arial" w:hAnsi="Arial" w:cs="Arial"/>
          <w:bCs/>
        </w:rPr>
        <w:t xml:space="preserve"> the </w:t>
      </w:r>
      <w:r w:rsidR="007B712C">
        <w:rPr>
          <w:rFonts w:ascii="Arial" w:hAnsi="Arial" w:cs="Arial"/>
          <w:bCs/>
        </w:rPr>
        <w:t xml:space="preserve">Government </w:t>
      </w:r>
      <w:r w:rsidRPr="00AA3DD0">
        <w:rPr>
          <w:rFonts w:ascii="Arial" w:hAnsi="Arial" w:cs="Arial"/>
          <w:bCs/>
        </w:rPr>
        <w:t xml:space="preserve">response to the Public Accounts and Public Works Committee Report No. 10, June 2011 – </w:t>
      </w:r>
      <w:r w:rsidRPr="00AA3DD0">
        <w:rPr>
          <w:rFonts w:ascii="Arial" w:hAnsi="Arial" w:cs="Arial"/>
          <w:bCs/>
          <w:i/>
        </w:rPr>
        <w:t>Enhancing Accountability through Annual Reporting</w:t>
      </w:r>
      <w:r w:rsidRPr="00AA3DD0">
        <w:rPr>
          <w:rFonts w:ascii="Arial" w:hAnsi="Arial" w:cs="Arial"/>
          <w:bCs/>
        </w:rPr>
        <w:t>.</w:t>
      </w:r>
    </w:p>
    <w:p w:rsidR="00AA3DD0" w:rsidRPr="00AA3DD0" w:rsidRDefault="00AA3DD0" w:rsidP="007B712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rPr>
          <w:rFonts w:ascii="Arial" w:hAnsi="Arial" w:cs="Arial"/>
        </w:rPr>
      </w:pPr>
      <w:r w:rsidRPr="00AA3DD0">
        <w:rPr>
          <w:rFonts w:ascii="Arial" w:hAnsi="Arial" w:cs="Arial"/>
          <w:i/>
          <w:u w:val="single"/>
        </w:rPr>
        <w:t>Attachments</w:t>
      </w:r>
    </w:p>
    <w:p w:rsidR="007B712C" w:rsidRDefault="00037DF0" w:rsidP="007B712C">
      <w:pPr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hyperlink r:id="rId7" w:history="1">
        <w:r w:rsidR="007B712C" w:rsidRPr="00E664B1">
          <w:rPr>
            <w:rStyle w:val="Hyperlink"/>
            <w:rFonts w:ascii="Arial" w:hAnsi="Arial" w:cs="Arial"/>
          </w:rPr>
          <w:t xml:space="preserve">Public Accounts and Public Works Committee Report No. 10, June 2011 - </w:t>
        </w:r>
        <w:r w:rsidR="007B712C" w:rsidRPr="00E664B1">
          <w:rPr>
            <w:rStyle w:val="Hyperlink"/>
            <w:rFonts w:ascii="Arial" w:hAnsi="Arial" w:cs="Arial"/>
            <w:i/>
          </w:rPr>
          <w:t>Enhancing Accountability through Annual Reporting</w:t>
        </w:r>
      </w:hyperlink>
    </w:p>
    <w:p w:rsidR="00AA3DD0" w:rsidRPr="007B712C" w:rsidRDefault="00037DF0" w:rsidP="007B712C">
      <w:pPr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hyperlink r:id="rId8" w:history="1">
        <w:r w:rsidR="00AA3DD0" w:rsidRPr="00E664B1">
          <w:rPr>
            <w:rStyle w:val="Hyperlink"/>
            <w:rFonts w:ascii="Arial" w:hAnsi="Arial" w:cs="Arial"/>
          </w:rPr>
          <w:t xml:space="preserve">Government response to the Public Accounts and Public Works Committee Report No. 10, June 2011 - </w:t>
        </w:r>
        <w:r w:rsidR="00AA3DD0" w:rsidRPr="00E664B1">
          <w:rPr>
            <w:rStyle w:val="Hyperlink"/>
            <w:rFonts w:ascii="Arial" w:hAnsi="Arial" w:cs="Arial"/>
            <w:i/>
          </w:rPr>
          <w:t>Enhancing Accountability through Annual Reporting</w:t>
        </w:r>
      </w:hyperlink>
    </w:p>
    <w:sectPr w:rsidR="00AA3DD0" w:rsidRPr="007B712C" w:rsidSect="00E664B1">
      <w:headerReference w:type="first" r:id="rId9"/>
      <w:pgSz w:w="11907" w:h="16840" w:code="9"/>
      <w:pgMar w:top="856" w:right="1418" w:bottom="1191" w:left="1418" w:header="851" w:footer="851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99" w:rsidRDefault="00EF5899" w:rsidP="006F74ED">
      <w:pPr>
        <w:spacing w:before="0"/>
      </w:pPr>
      <w:r>
        <w:separator/>
      </w:r>
    </w:p>
  </w:endnote>
  <w:endnote w:type="continuationSeparator" w:id="0">
    <w:p w:rsidR="00EF5899" w:rsidRDefault="00EF5899" w:rsidP="006F74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99" w:rsidRDefault="00EF5899" w:rsidP="006F74ED">
      <w:pPr>
        <w:spacing w:before="0"/>
      </w:pPr>
      <w:r>
        <w:separator/>
      </w:r>
    </w:p>
  </w:footnote>
  <w:footnote w:type="continuationSeparator" w:id="0">
    <w:p w:rsidR="00EF5899" w:rsidRDefault="00EF5899" w:rsidP="006F74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2C" w:rsidRPr="00C83521" w:rsidRDefault="00BA7E0B" w:rsidP="007B712C">
    <w:pPr>
      <w:pStyle w:val="Header"/>
      <w:ind w:firstLine="2880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12C" w:rsidRPr="000400F9">
      <w:rPr>
        <w:rFonts w:ascii="Arial" w:hAnsi="Arial" w:cs="Arial"/>
        <w:b/>
        <w:u w:val="single"/>
      </w:rPr>
      <w:t xml:space="preserve">Cabinet – </w:t>
    </w:r>
    <w:r w:rsidR="007B712C">
      <w:rPr>
        <w:rFonts w:ascii="Arial" w:hAnsi="Arial" w:cs="Arial"/>
        <w:b/>
        <w:u w:val="single"/>
      </w:rPr>
      <w:t>August 2011</w:t>
    </w:r>
    <w:r w:rsidR="007B712C">
      <w:rPr>
        <w:rFonts w:ascii="Arial" w:hAnsi="Arial" w:cs="Arial"/>
        <w:b/>
      </w:rPr>
      <w:tab/>
    </w:r>
  </w:p>
  <w:p w:rsidR="007B712C" w:rsidRDefault="007B712C" w:rsidP="007B712C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Government response to the Public Accounts and Public Works Committee Report No. 10, June 2011 – </w:t>
    </w:r>
    <w:r w:rsidRPr="00D71531">
      <w:rPr>
        <w:rFonts w:ascii="Arial" w:hAnsi="Arial" w:cs="Arial"/>
        <w:b/>
        <w:i/>
        <w:u w:val="single"/>
      </w:rPr>
      <w:t>Enhancing Accountability through Annual Reporting</w:t>
    </w:r>
  </w:p>
  <w:p w:rsidR="007B712C" w:rsidRDefault="007B712C" w:rsidP="007B712C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Premier and Minister for Reconstruction</w:t>
    </w:r>
  </w:p>
  <w:p w:rsidR="007B712C" w:rsidRPr="00F10DF9" w:rsidRDefault="007B712C" w:rsidP="007B712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2479"/>
    <w:multiLevelType w:val="hybridMultilevel"/>
    <w:tmpl w:val="F3E40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D0"/>
    <w:rsid w:val="00020BCE"/>
    <w:rsid w:val="00022F0A"/>
    <w:rsid w:val="00037DF0"/>
    <w:rsid w:val="000757DC"/>
    <w:rsid w:val="00083DE1"/>
    <w:rsid w:val="0009109D"/>
    <w:rsid w:val="000943AB"/>
    <w:rsid w:val="000A66FE"/>
    <w:rsid w:val="000B26F3"/>
    <w:rsid w:val="000C32F2"/>
    <w:rsid w:val="00105CC3"/>
    <w:rsid w:val="00126F66"/>
    <w:rsid w:val="00127EB4"/>
    <w:rsid w:val="0013096E"/>
    <w:rsid w:val="00135097"/>
    <w:rsid w:val="001444C3"/>
    <w:rsid w:val="001649D1"/>
    <w:rsid w:val="00180A1C"/>
    <w:rsid w:val="001A2427"/>
    <w:rsid w:val="001C55D1"/>
    <w:rsid w:val="001C6A26"/>
    <w:rsid w:val="001D43E8"/>
    <w:rsid w:val="00215202"/>
    <w:rsid w:val="002710C9"/>
    <w:rsid w:val="0028183B"/>
    <w:rsid w:val="002960C9"/>
    <w:rsid w:val="002D0F0E"/>
    <w:rsid w:val="003275A5"/>
    <w:rsid w:val="00332A14"/>
    <w:rsid w:val="00341DCF"/>
    <w:rsid w:val="00382B40"/>
    <w:rsid w:val="003A6BA7"/>
    <w:rsid w:val="004040D7"/>
    <w:rsid w:val="00420C73"/>
    <w:rsid w:val="0042145F"/>
    <w:rsid w:val="00463334"/>
    <w:rsid w:val="0046671D"/>
    <w:rsid w:val="004971D6"/>
    <w:rsid w:val="004E301B"/>
    <w:rsid w:val="004F6074"/>
    <w:rsid w:val="00501413"/>
    <w:rsid w:val="0055022F"/>
    <w:rsid w:val="0055509D"/>
    <w:rsid w:val="00575492"/>
    <w:rsid w:val="00592390"/>
    <w:rsid w:val="005E4B26"/>
    <w:rsid w:val="00654B44"/>
    <w:rsid w:val="00661CEF"/>
    <w:rsid w:val="00665C7B"/>
    <w:rsid w:val="0069315D"/>
    <w:rsid w:val="006A358D"/>
    <w:rsid w:val="006A588A"/>
    <w:rsid w:val="006C7CBB"/>
    <w:rsid w:val="006D3202"/>
    <w:rsid w:val="006E1AB8"/>
    <w:rsid w:val="006E434E"/>
    <w:rsid w:val="006F74ED"/>
    <w:rsid w:val="0072032E"/>
    <w:rsid w:val="00753DB3"/>
    <w:rsid w:val="0075584A"/>
    <w:rsid w:val="00755CB4"/>
    <w:rsid w:val="007622BF"/>
    <w:rsid w:val="007845FA"/>
    <w:rsid w:val="007B712C"/>
    <w:rsid w:val="007C27C4"/>
    <w:rsid w:val="007E2A84"/>
    <w:rsid w:val="007F21C6"/>
    <w:rsid w:val="00807E00"/>
    <w:rsid w:val="0081694D"/>
    <w:rsid w:val="00893092"/>
    <w:rsid w:val="008A74D0"/>
    <w:rsid w:val="008B2489"/>
    <w:rsid w:val="008C20B3"/>
    <w:rsid w:val="008E0F03"/>
    <w:rsid w:val="008F3ECE"/>
    <w:rsid w:val="0091694E"/>
    <w:rsid w:val="0092555B"/>
    <w:rsid w:val="00936E2D"/>
    <w:rsid w:val="00967854"/>
    <w:rsid w:val="009D427B"/>
    <w:rsid w:val="009D6AF6"/>
    <w:rsid w:val="009E3934"/>
    <w:rsid w:val="00A633FE"/>
    <w:rsid w:val="00AA3DD0"/>
    <w:rsid w:val="00B516EC"/>
    <w:rsid w:val="00B66843"/>
    <w:rsid w:val="00B90B3F"/>
    <w:rsid w:val="00BA7E0B"/>
    <w:rsid w:val="00BB376C"/>
    <w:rsid w:val="00BF1119"/>
    <w:rsid w:val="00BF41AD"/>
    <w:rsid w:val="00C12450"/>
    <w:rsid w:val="00C129D5"/>
    <w:rsid w:val="00C24C0D"/>
    <w:rsid w:val="00C27B27"/>
    <w:rsid w:val="00C33BF0"/>
    <w:rsid w:val="00C37D5D"/>
    <w:rsid w:val="00CA7261"/>
    <w:rsid w:val="00CD65FD"/>
    <w:rsid w:val="00CE2554"/>
    <w:rsid w:val="00CF41E9"/>
    <w:rsid w:val="00D33E23"/>
    <w:rsid w:val="00D4154A"/>
    <w:rsid w:val="00D60DC1"/>
    <w:rsid w:val="00D65782"/>
    <w:rsid w:val="00D80C56"/>
    <w:rsid w:val="00DC76F0"/>
    <w:rsid w:val="00DD214B"/>
    <w:rsid w:val="00DF1A55"/>
    <w:rsid w:val="00DF7244"/>
    <w:rsid w:val="00E121C9"/>
    <w:rsid w:val="00E1567F"/>
    <w:rsid w:val="00E311A0"/>
    <w:rsid w:val="00E346A5"/>
    <w:rsid w:val="00E64A13"/>
    <w:rsid w:val="00E664B1"/>
    <w:rsid w:val="00E803FD"/>
    <w:rsid w:val="00E92C11"/>
    <w:rsid w:val="00EC3F70"/>
    <w:rsid w:val="00EF5899"/>
    <w:rsid w:val="00F40983"/>
    <w:rsid w:val="00F446A2"/>
    <w:rsid w:val="00F47A8B"/>
    <w:rsid w:val="00FA59E9"/>
    <w:rsid w:val="00FC3894"/>
    <w:rsid w:val="00FE265C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74"/>
    <w:pPr>
      <w:spacing w:before="24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3DD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3DD0"/>
  </w:style>
  <w:style w:type="paragraph" w:styleId="Footer">
    <w:name w:val="footer"/>
    <w:basedOn w:val="Normal"/>
    <w:link w:val="FooterChar"/>
    <w:uiPriority w:val="99"/>
    <w:semiHidden/>
    <w:unhideWhenUsed/>
    <w:rsid w:val="00BF1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11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F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udgen1_accountability_gr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APWC%20Report%20No%20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1000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>https://www.cabinet.qld.gov.au/documents/2011/Aug/Govt Response to Public Accts and Public Works Ctte Report No 10/</HyperlinkBase>
  <HLinks>
    <vt:vector size="12" baseType="variant">
      <vt:variant>
        <vt:i4>3604595</vt:i4>
      </vt:variant>
      <vt:variant>
        <vt:i4>3</vt:i4>
      </vt:variant>
      <vt:variant>
        <vt:i4>0</vt:i4>
      </vt:variant>
      <vt:variant>
        <vt:i4>5</vt:i4>
      </vt:variant>
      <vt:variant>
        <vt:lpwstr>Attachments/audgen1_accountability_gr.pdf</vt:lpwstr>
      </vt:variant>
      <vt:variant>
        <vt:lpwstr/>
      </vt:variant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Attachments/PAPWC Report No 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2017-10-24T23:05:00Z</dcterms:created>
  <dcterms:modified xsi:type="dcterms:W3CDTF">2018-03-06T01:07:00Z</dcterms:modified>
  <cp:category>Committees,Auditor_General,Performance_Management</cp:category>
</cp:coreProperties>
</file>